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LOJMAN TERC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İH FORMU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SIRASI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PUANI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Öneriye 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ıkartılan lojmanları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ördüm. Lojman puan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ıma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öre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şağıda tahsis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önceli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ğini belirttiğim konuta girmeyi kabul ediyorum.</w:t>
      </w:r>
    </w:p>
    <w:p>
      <w:pPr>
        <w:tabs>
          <w:tab w:val="left" w:pos="567" w:leader="none"/>
        </w:tabs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Arz ederim.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TAHS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İSİ UYGUN 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ÖRDÜ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ÜM LOJMANLAR VE TAHS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İS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ÖNCEL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İĞİ</w:t>
      </w:r>
    </w:p>
    <w:tbl>
      <w:tblPr/>
      <w:tblGrid>
        <w:gridCol w:w="1269"/>
        <w:gridCol w:w="3974"/>
        <w:gridCol w:w="277"/>
        <w:gridCol w:w="1275"/>
        <w:gridCol w:w="3973"/>
      </w:tblGrid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TAHS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ÖNCEL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İĞİ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LOJMAN ADI VE 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İRE NUMARASI</w:t>
            </w: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TAHS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ÖNCEL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İĞİ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LOJMAN ADI VE 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İRE NUMARASI</w:t>
            </w: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3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……./……./202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ADI SOYADI</w:t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ÜNVANI</w:t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GÖREV YER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İ</w:t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TELEFON NO</w:t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İMZASI</w:t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TAAHHÜTNAME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Gülhane lojmanlar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ından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Noyan, Kavur, Numan, Rieder Paşa ve Ural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apartmanlarının 202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yılı ve sonrasında bakım ve onarıma alınması planlandığından,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öz konusu lojmanlar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ın bakım ve onarıma gireceğinin tarafıma tebliğ edilmesinden itibaren, belirtilen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üre içerisinde oturdu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ğum lojmanı tahliye edeceğimi, tahliyeden dolayı herhangi bir talebimin (Tazminat, Taşınma Masrafı vb.) olmayacağını kabul, beyan ve taahh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üt ederim.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6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Okudum anlad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ım, kabul ediyorum. (El yazısı ile yazılacaktır.)</w:t>
      </w:r>
    </w:p>
    <w:p>
      <w:pPr>
        <w:tabs>
          <w:tab w:val="left" w:pos="567" w:leader="none"/>
        </w:tabs>
        <w:spacing w:before="0" w:after="6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6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……………………………………………..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ı Soyadı</w:t>
        <w:tab/>
        <w:t xml:space="preserve">: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İmza</w:t>
        <w:tab/>
        <w:tab/>
        <w:tab/>
        <w:t xml:space="preserve">: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Tarih</w:t>
        <w:tab/>
        <w:tab/>
        <w:tab/>
        <w:t xml:space="preserve">: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KONUTLARDA OTURANLARIN UYMASI GEREKEN ESASLAR</w:t>
      </w:r>
    </w:p>
    <w:p>
      <w:pPr>
        <w:tabs>
          <w:tab w:val="left" w:pos="567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160" w:line="240"/>
        <w:ind w:right="0" w:left="0" w:firstLine="425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(1) Kendisine konut tahsis edilen kirac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ılar, konutta oturdukları 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üre içinde 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şağıda belirtilen esaslara uymak zorundadırlar. 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Konutlar hakk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ında kanun, 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önetmelik, yönerge hükümlerine ve genel kurul ile yönetim kurulu kararlar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ına uymak,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 sakinlerinin huzur ve sükûnunu bozucu, genel ahlak ve de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ğerleri zedeleyici tutum ve davranışlarda bulunamazlar. 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Apartman / blok veya site yöneticisi taraf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ından tespit edilen, konutların iyi kullanılması, korunması ve tahribatının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önlenmesi ile ilgili önlemlere titizlikle uyarlar.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Konutlar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 tamamını veya bir 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ölümünü, ba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şkalarına devredemezler veya kiraya veremezler. 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Konutlar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 mimari durumunda ve 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 tesisatlarda, kendiliklerinden de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ğişiklik yapamazlar. 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Konutun bir bölümünde veya bahçede kümes yapamazlar ve ah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ır hayvanları besleyemezler.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 tahsis edilenler, kendilerine ait Apartman/Site Yönetimince tespit edilen araç park yerlerini kullan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ırlar.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 tesisat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ını kapasitesi dışında kullanmamak, elektrik, havagazı, su, yakıt ve benzeri sarfiyatta azami derecede tasarruf etmek, Konut sakinleri ortak yer veya tesisler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üzerindeki kullanma hakk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ından vazge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çmek veya kendi konutunun durumu dolay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ısıyla bunlardan faydalanmaya 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üzum ve ihtiyaç bulunmad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ığını ileri 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ürmek suretiyle bu gider ve aidatlar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ödemekten kaç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ınmamak,   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ğ)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Balkon ve ortak kullanım yerlerinde mangal yakma, yemek pişirme, 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ömür ve odun 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ığma gibi diğer konut sakinlerini rahatsız edici işler yapmamak,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Üst kat balkonlar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ında aşağıdaki kiracıyı rahatsız edecek şekilde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çiçek sulamamak, hal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ı, kilim silkme, balkon yıkama gibi işleri yapmamak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İhmal, dikkatsizlik ve 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ötü kullanma sonucu meydana gelen hasar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 onarmak ya da onartmak,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Konut Yönergesi hükümlerinin uygulanmas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ında 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örevlilere yard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ımcı olmak, daire 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çerisinde yap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ılması gereken onarımlara 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üsaade etmek ve gerekti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ğinde alt veya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üst kattaki onar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ım 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çin kendi dairesinde yap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ılacak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ışmalara imk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ân vermek,</w:t>
      </w:r>
    </w:p>
    <w:p>
      <w:pPr>
        <w:spacing w:before="0" w:after="160" w:line="240"/>
        <w:ind w:right="0" w:left="0" w:firstLine="425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şuları rahatsız edecek şekilde hafta 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çi sabah saat 10.00, hafta sonu sabah saat 11.00’dan önce, ak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şam ise saat 22.00’dan sonra 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ürültü yapmamak, yüksek sesli cihazlar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ıştırmamak, ses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ıkartacak şekilde ayakkabı, terlik, takunya vb. ile 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ürümemek, 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şya yeri değiştirmemek veya eşya taşımamak.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Ad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ı Soyadı</w:t>
        <w:tab/>
        <w:t xml:space="preserve">: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İmza</w:t>
        <w:tab/>
        <w:tab/>
        <w:t xml:space="preserve">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