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3AB1" w14:textId="7B3EBBDE" w:rsidR="003D08A1" w:rsidRDefault="000C6964" w:rsidP="003D08A1">
      <w:pPr>
        <w:pStyle w:val="Balk2"/>
        <w:rPr>
          <w:rFonts w:ascii="Times New Roman" w:hAnsi="Times New Roman" w:cs="Times New Roman"/>
          <w:b/>
          <w:bCs/>
          <w:color w:val="000000" w:themeColor="text1"/>
          <w:sz w:val="24"/>
          <w:szCs w:val="24"/>
        </w:rPr>
      </w:pPr>
      <w:bookmarkStart w:id="0" w:name="_Toc120541471"/>
      <w:r>
        <w:rPr>
          <w:rFonts w:ascii="Times New Roman" w:hAnsi="Times New Roman" w:cs="Times New Roman"/>
          <w:b/>
          <w:bCs/>
          <w:color w:val="000000" w:themeColor="text1"/>
          <w:sz w:val="24"/>
          <w:szCs w:val="24"/>
        </w:rPr>
        <w:t>Tablo-9</w:t>
      </w:r>
      <w:r w:rsidR="003D08A1" w:rsidRPr="007C763F">
        <w:rPr>
          <w:rFonts w:ascii="Times New Roman" w:hAnsi="Times New Roman" w:cs="Times New Roman"/>
          <w:b/>
          <w:bCs/>
          <w:color w:val="000000" w:themeColor="text1"/>
          <w:sz w:val="24"/>
          <w:szCs w:val="24"/>
        </w:rPr>
        <w:t xml:space="preserve"> Risk Değerlendirme Kriterleri Tablosu</w:t>
      </w:r>
      <w:bookmarkEnd w:id="0"/>
    </w:p>
    <w:p w14:paraId="482F7224" w14:textId="77777777" w:rsidR="003D08A1" w:rsidRDefault="003D08A1" w:rsidP="003D08A1"/>
    <w:tbl>
      <w:tblPr>
        <w:tblStyle w:val="TabloKlavuzu"/>
        <w:tblW w:w="14132" w:type="dxa"/>
        <w:tblLook w:val="04A0" w:firstRow="1" w:lastRow="0" w:firstColumn="1" w:lastColumn="0" w:noHBand="0" w:noVBand="1"/>
      </w:tblPr>
      <w:tblGrid>
        <w:gridCol w:w="615"/>
        <w:gridCol w:w="1546"/>
        <w:gridCol w:w="2342"/>
        <w:gridCol w:w="2415"/>
        <w:gridCol w:w="2520"/>
        <w:gridCol w:w="2335"/>
        <w:gridCol w:w="2342"/>
        <w:gridCol w:w="17"/>
      </w:tblGrid>
      <w:tr w:rsidR="003D08A1" w14:paraId="6735BF23" w14:textId="77777777" w:rsidTr="003D08A1">
        <w:trPr>
          <w:trHeight w:val="302"/>
        </w:trPr>
        <w:tc>
          <w:tcPr>
            <w:tcW w:w="14132" w:type="dxa"/>
            <w:gridSpan w:val="8"/>
          </w:tcPr>
          <w:p w14:paraId="5F3AA0C0" w14:textId="77777777" w:rsidR="003D08A1" w:rsidRPr="000C6964" w:rsidRDefault="003D08A1" w:rsidP="00EE0436">
            <w:pPr>
              <w:jc w:val="center"/>
              <w:rPr>
                <w:rFonts w:ascii="Times New Roman" w:hAnsi="Times New Roman" w:cs="Times New Roman"/>
                <w:b/>
                <w:bCs/>
              </w:rPr>
            </w:pPr>
            <w:r w:rsidRPr="000C6964">
              <w:rPr>
                <w:rFonts w:ascii="Times New Roman" w:hAnsi="Times New Roman" w:cs="Times New Roman"/>
                <w:b/>
                <w:bCs/>
                <w:sz w:val="24"/>
                <w:szCs w:val="24"/>
              </w:rPr>
              <w:t>RİSK DEĞERLENDİRME KRİTERLERİ TABLOSU</w:t>
            </w:r>
          </w:p>
        </w:tc>
      </w:tr>
      <w:tr w:rsidR="003D08A1" w14:paraId="31B4BE8E" w14:textId="77777777" w:rsidTr="003D08A1">
        <w:trPr>
          <w:gridAfter w:val="1"/>
          <w:wAfter w:w="17" w:type="dxa"/>
          <w:trHeight w:val="241"/>
        </w:trPr>
        <w:tc>
          <w:tcPr>
            <w:tcW w:w="620" w:type="dxa"/>
            <w:vMerge w:val="restart"/>
            <w:textDirection w:val="btLr"/>
          </w:tcPr>
          <w:p w14:paraId="13F2964E" w14:textId="77777777" w:rsidR="003D08A1" w:rsidRPr="000C6964" w:rsidRDefault="003D08A1" w:rsidP="00EE0436">
            <w:pPr>
              <w:ind w:left="113" w:right="113"/>
              <w:jc w:val="center"/>
              <w:rPr>
                <w:rFonts w:ascii="Times New Roman" w:hAnsi="Times New Roman" w:cs="Times New Roman"/>
                <w:b/>
                <w:bCs/>
                <w:sz w:val="24"/>
                <w:szCs w:val="24"/>
              </w:rPr>
            </w:pPr>
            <w:r w:rsidRPr="000C6964">
              <w:rPr>
                <w:rFonts w:ascii="Times New Roman" w:hAnsi="Times New Roman" w:cs="Times New Roman"/>
                <w:b/>
                <w:bCs/>
                <w:sz w:val="24"/>
                <w:szCs w:val="24"/>
              </w:rPr>
              <w:t>Değer</w:t>
            </w:r>
          </w:p>
        </w:tc>
        <w:tc>
          <w:tcPr>
            <w:tcW w:w="1562" w:type="dxa"/>
            <w:vMerge w:val="restart"/>
            <w:textDirection w:val="btLr"/>
          </w:tcPr>
          <w:p w14:paraId="5C7CFA16" w14:textId="77777777" w:rsidR="003D08A1" w:rsidRPr="000C6964" w:rsidRDefault="003D08A1" w:rsidP="00EE0436">
            <w:pPr>
              <w:ind w:left="113" w:right="113"/>
              <w:jc w:val="center"/>
              <w:rPr>
                <w:rFonts w:ascii="Times New Roman" w:hAnsi="Times New Roman" w:cs="Times New Roman"/>
                <w:b/>
                <w:bCs/>
                <w:sz w:val="24"/>
                <w:szCs w:val="24"/>
              </w:rPr>
            </w:pPr>
          </w:p>
          <w:p w14:paraId="41931055" w14:textId="77777777" w:rsidR="003D08A1" w:rsidRPr="000C6964" w:rsidRDefault="003D08A1" w:rsidP="00EE0436">
            <w:pPr>
              <w:ind w:left="113" w:right="113"/>
              <w:jc w:val="center"/>
              <w:rPr>
                <w:rFonts w:ascii="Times New Roman" w:hAnsi="Times New Roman" w:cs="Times New Roman"/>
                <w:b/>
                <w:bCs/>
                <w:sz w:val="24"/>
                <w:szCs w:val="24"/>
              </w:rPr>
            </w:pPr>
          </w:p>
          <w:p w14:paraId="41E66DC3" w14:textId="77777777" w:rsidR="003D08A1" w:rsidRPr="000C6964" w:rsidRDefault="003D08A1" w:rsidP="00EE0436">
            <w:pPr>
              <w:ind w:left="113" w:right="113"/>
              <w:jc w:val="center"/>
              <w:rPr>
                <w:rFonts w:ascii="Times New Roman" w:hAnsi="Times New Roman" w:cs="Times New Roman"/>
                <w:b/>
                <w:bCs/>
                <w:sz w:val="24"/>
                <w:szCs w:val="24"/>
              </w:rPr>
            </w:pPr>
            <w:r w:rsidRPr="000C6964">
              <w:rPr>
                <w:rFonts w:ascii="Times New Roman" w:hAnsi="Times New Roman" w:cs="Times New Roman"/>
                <w:b/>
                <w:bCs/>
                <w:sz w:val="24"/>
                <w:szCs w:val="24"/>
              </w:rPr>
              <w:t>Aralık</w:t>
            </w:r>
          </w:p>
        </w:tc>
        <w:tc>
          <w:tcPr>
            <w:tcW w:w="2351" w:type="dxa"/>
            <w:vMerge w:val="restart"/>
          </w:tcPr>
          <w:p w14:paraId="400DA65C" w14:textId="77777777" w:rsidR="003D08A1" w:rsidRPr="000C6964" w:rsidRDefault="003D08A1" w:rsidP="00EE0436">
            <w:pPr>
              <w:jc w:val="center"/>
              <w:rPr>
                <w:rFonts w:ascii="Times New Roman" w:hAnsi="Times New Roman" w:cs="Times New Roman"/>
                <w:b/>
                <w:bCs/>
                <w:sz w:val="24"/>
                <w:szCs w:val="24"/>
              </w:rPr>
            </w:pPr>
          </w:p>
          <w:p w14:paraId="66B3ED10" w14:textId="77777777" w:rsidR="003D08A1" w:rsidRPr="000C6964" w:rsidRDefault="003D08A1" w:rsidP="00EE0436">
            <w:pPr>
              <w:jc w:val="center"/>
              <w:rPr>
                <w:rFonts w:ascii="Times New Roman" w:hAnsi="Times New Roman" w:cs="Times New Roman"/>
                <w:b/>
                <w:bCs/>
                <w:sz w:val="24"/>
                <w:szCs w:val="24"/>
              </w:rPr>
            </w:pPr>
          </w:p>
          <w:p w14:paraId="1F9A7042"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Olasılık</w:t>
            </w:r>
          </w:p>
        </w:tc>
        <w:tc>
          <w:tcPr>
            <w:tcW w:w="9582" w:type="dxa"/>
            <w:gridSpan w:val="4"/>
          </w:tcPr>
          <w:p w14:paraId="02D1479B"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Etki</w:t>
            </w:r>
          </w:p>
        </w:tc>
      </w:tr>
      <w:tr w:rsidR="003D08A1" w14:paraId="17BA3DD2" w14:textId="77777777" w:rsidTr="003D08A1">
        <w:trPr>
          <w:gridAfter w:val="1"/>
          <w:wAfter w:w="17" w:type="dxa"/>
          <w:trHeight w:val="1133"/>
        </w:trPr>
        <w:tc>
          <w:tcPr>
            <w:tcW w:w="620" w:type="dxa"/>
            <w:vMerge/>
          </w:tcPr>
          <w:p w14:paraId="7DFF1EBB" w14:textId="77777777" w:rsidR="003D08A1" w:rsidRPr="000C6964" w:rsidRDefault="003D08A1" w:rsidP="00EE0436">
            <w:pPr>
              <w:rPr>
                <w:rFonts w:ascii="Times New Roman" w:hAnsi="Times New Roman" w:cs="Times New Roman"/>
                <w:b/>
                <w:bCs/>
                <w:sz w:val="24"/>
                <w:szCs w:val="24"/>
              </w:rPr>
            </w:pPr>
          </w:p>
        </w:tc>
        <w:tc>
          <w:tcPr>
            <w:tcW w:w="1562" w:type="dxa"/>
            <w:vMerge/>
          </w:tcPr>
          <w:p w14:paraId="3F4AF846" w14:textId="77777777" w:rsidR="003D08A1" w:rsidRPr="000C6964" w:rsidRDefault="003D08A1" w:rsidP="00EE0436">
            <w:pPr>
              <w:rPr>
                <w:rFonts w:ascii="Times New Roman" w:hAnsi="Times New Roman" w:cs="Times New Roman"/>
                <w:sz w:val="24"/>
                <w:szCs w:val="24"/>
              </w:rPr>
            </w:pPr>
          </w:p>
        </w:tc>
        <w:tc>
          <w:tcPr>
            <w:tcW w:w="2351" w:type="dxa"/>
            <w:vMerge/>
          </w:tcPr>
          <w:p w14:paraId="3A237783" w14:textId="77777777" w:rsidR="003D08A1" w:rsidRPr="000C6964" w:rsidRDefault="003D08A1" w:rsidP="00EE0436">
            <w:pPr>
              <w:rPr>
                <w:rFonts w:ascii="Times New Roman" w:hAnsi="Times New Roman" w:cs="Times New Roman"/>
                <w:sz w:val="24"/>
                <w:szCs w:val="24"/>
              </w:rPr>
            </w:pPr>
          </w:p>
        </w:tc>
        <w:tc>
          <w:tcPr>
            <w:tcW w:w="2351" w:type="dxa"/>
          </w:tcPr>
          <w:p w14:paraId="7DACAD82" w14:textId="77777777" w:rsidR="003D08A1" w:rsidRPr="000C6964" w:rsidRDefault="003D08A1" w:rsidP="00EE0436">
            <w:pPr>
              <w:jc w:val="center"/>
              <w:rPr>
                <w:rFonts w:ascii="Times New Roman" w:hAnsi="Times New Roman" w:cs="Times New Roman"/>
                <w:b/>
                <w:bCs/>
                <w:sz w:val="24"/>
                <w:szCs w:val="24"/>
              </w:rPr>
            </w:pPr>
          </w:p>
          <w:p w14:paraId="64895B05"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Strateji</w:t>
            </w:r>
          </w:p>
        </w:tc>
        <w:tc>
          <w:tcPr>
            <w:tcW w:w="2524" w:type="dxa"/>
          </w:tcPr>
          <w:p w14:paraId="0475C655" w14:textId="77777777" w:rsidR="003D08A1" w:rsidRPr="000C6964" w:rsidRDefault="003D08A1" w:rsidP="00EE0436">
            <w:pPr>
              <w:jc w:val="center"/>
              <w:rPr>
                <w:rFonts w:ascii="Times New Roman" w:hAnsi="Times New Roman" w:cs="Times New Roman"/>
                <w:b/>
                <w:bCs/>
                <w:sz w:val="24"/>
                <w:szCs w:val="24"/>
              </w:rPr>
            </w:pPr>
          </w:p>
          <w:p w14:paraId="3546537E"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Faaliyetler/Süreçler</w:t>
            </w:r>
          </w:p>
        </w:tc>
        <w:tc>
          <w:tcPr>
            <w:tcW w:w="2347" w:type="dxa"/>
          </w:tcPr>
          <w:p w14:paraId="65FDCD7B" w14:textId="77777777" w:rsidR="003D08A1" w:rsidRPr="000C6964" w:rsidRDefault="003D08A1" w:rsidP="00EE0436">
            <w:pPr>
              <w:jc w:val="center"/>
              <w:rPr>
                <w:rFonts w:ascii="Times New Roman" w:hAnsi="Times New Roman" w:cs="Times New Roman"/>
                <w:b/>
                <w:bCs/>
                <w:sz w:val="24"/>
                <w:szCs w:val="24"/>
              </w:rPr>
            </w:pPr>
          </w:p>
          <w:p w14:paraId="54C0D72D"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Mali</w:t>
            </w:r>
          </w:p>
        </w:tc>
        <w:tc>
          <w:tcPr>
            <w:tcW w:w="2360" w:type="dxa"/>
          </w:tcPr>
          <w:p w14:paraId="050BBDFB" w14:textId="77777777" w:rsidR="003D08A1" w:rsidRPr="000C6964" w:rsidRDefault="003D08A1" w:rsidP="00EE0436">
            <w:pPr>
              <w:jc w:val="center"/>
              <w:rPr>
                <w:rFonts w:ascii="Times New Roman" w:hAnsi="Times New Roman" w:cs="Times New Roman"/>
                <w:b/>
                <w:bCs/>
                <w:sz w:val="24"/>
                <w:szCs w:val="24"/>
              </w:rPr>
            </w:pPr>
          </w:p>
          <w:p w14:paraId="2E83F77D" w14:textId="77777777" w:rsidR="003D08A1" w:rsidRPr="000C6964" w:rsidRDefault="003D08A1" w:rsidP="00EE0436">
            <w:pPr>
              <w:jc w:val="center"/>
              <w:rPr>
                <w:rFonts w:ascii="Times New Roman" w:hAnsi="Times New Roman" w:cs="Times New Roman"/>
                <w:b/>
                <w:bCs/>
                <w:sz w:val="24"/>
                <w:szCs w:val="24"/>
              </w:rPr>
            </w:pPr>
            <w:r w:rsidRPr="000C6964">
              <w:rPr>
                <w:rFonts w:ascii="Times New Roman" w:hAnsi="Times New Roman" w:cs="Times New Roman"/>
                <w:b/>
                <w:bCs/>
                <w:sz w:val="24"/>
                <w:szCs w:val="24"/>
              </w:rPr>
              <w:t>Mevzuata Uyum</w:t>
            </w:r>
          </w:p>
        </w:tc>
      </w:tr>
      <w:tr w:rsidR="003D08A1" w14:paraId="6864E58A" w14:textId="77777777" w:rsidTr="003D08A1">
        <w:trPr>
          <w:gridAfter w:val="1"/>
          <w:wAfter w:w="17" w:type="dxa"/>
          <w:trHeight w:val="1040"/>
        </w:trPr>
        <w:tc>
          <w:tcPr>
            <w:tcW w:w="620" w:type="dxa"/>
          </w:tcPr>
          <w:p w14:paraId="5EE258BC"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10</w:t>
            </w:r>
          </w:p>
        </w:tc>
        <w:tc>
          <w:tcPr>
            <w:tcW w:w="1562" w:type="dxa"/>
            <w:vMerge w:val="restart"/>
            <w:shd w:val="clear" w:color="auto" w:fill="FF0000"/>
          </w:tcPr>
          <w:p w14:paraId="2C730E06" w14:textId="77777777" w:rsidR="003D08A1" w:rsidRDefault="003D08A1" w:rsidP="00EE0436"/>
          <w:p w14:paraId="54EDBAF8" w14:textId="77777777" w:rsidR="003D08A1" w:rsidRDefault="003D08A1" w:rsidP="00EE0436">
            <w:pPr>
              <w:jc w:val="center"/>
              <w:rPr>
                <w:rFonts w:ascii="Times New Roman" w:hAnsi="Times New Roman" w:cs="Times New Roman"/>
                <w:sz w:val="24"/>
                <w:szCs w:val="24"/>
              </w:rPr>
            </w:pPr>
          </w:p>
          <w:p w14:paraId="3F2A9E2D" w14:textId="77777777" w:rsidR="003D08A1" w:rsidRDefault="003D08A1" w:rsidP="00EE0436">
            <w:pPr>
              <w:jc w:val="center"/>
              <w:rPr>
                <w:rFonts w:ascii="Times New Roman" w:hAnsi="Times New Roman" w:cs="Times New Roman"/>
                <w:sz w:val="24"/>
                <w:szCs w:val="24"/>
              </w:rPr>
            </w:pPr>
          </w:p>
          <w:p w14:paraId="6102F545" w14:textId="77777777" w:rsidR="003D08A1" w:rsidRDefault="003D08A1" w:rsidP="00EE0436">
            <w:pPr>
              <w:jc w:val="center"/>
              <w:rPr>
                <w:rFonts w:ascii="Times New Roman" w:hAnsi="Times New Roman" w:cs="Times New Roman"/>
                <w:sz w:val="24"/>
                <w:szCs w:val="24"/>
              </w:rPr>
            </w:pPr>
          </w:p>
          <w:p w14:paraId="49883880" w14:textId="77777777" w:rsidR="003D08A1" w:rsidRDefault="003D08A1" w:rsidP="00EE0436">
            <w:pPr>
              <w:jc w:val="center"/>
              <w:rPr>
                <w:rFonts w:ascii="Times New Roman" w:hAnsi="Times New Roman" w:cs="Times New Roman"/>
                <w:sz w:val="24"/>
                <w:szCs w:val="24"/>
              </w:rPr>
            </w:pPr>
          </w:p>
          <w:p w14:paraId="09EC5793" w14:textId="77777777" w:rsidR="003D08A1" w:rsidRDefault="003D08A1" w:rsidP="00EE0436">
            <w:pPr>
              <w:jc w:val="center"/>
              <w:rPr>
                <w:rFonts w:ascii="Times New Roman" w:hAnsi="Times New Roman" w:cs="Times New Roman"/>
                <w:sz w:val="24"/>
                <w:szCs w:val="24"/>
              </w:rPr>
            </w:pPr>
          </w:p>
          <w:p w14:paraId="4AE86A68"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Yüksek</w:t>
            </w:r>
          </w:p>
        </w:tc>
        <w:tc>
          <w:tcPr>
            <w:tcW w:w="2351" w:type="dxa"/>
            <w:vMerge w:val="restart"/>
          </w:tcPr>
          <w:p w14:paraId="514706F9"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 yıl/ay/gün içerisinde gerçekleşmesi neredeyse kesin olan risklerdir. İdarenin yapısı göz önüne alındığında genellikle politika veya prosedürlerden kaynaklanır. İdarenin faaliyet alanı ne kadar geniş ise riskli olayların gerçekleşme olasılığı o kadar yüksektir.</w:t>
            </w:r>
          </w:p>
        </w:tc>
        <w:tc>
          <w:tcPr>
            <w:tcW w:w="2351" w:type="dxa"/>
            <w:vMerge w:val="restart"/>
          </w:tcPr>
          <w:p w14:paraId="2CE36D94"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Stratejik hedeflere ulaşmada önemli etkisi olabilecek risklerdir. Gerçekleşmesi durumunda idarenin hedeflerinden sapmasına dolayısıyla amaçlarını yeterince gerçekleştirememesine neden olabilecek risklerdir.</w:t>
            </w:r>
          </w:p>
        </w:tc>
        <w:tc>
          <w:tcPr>
            <w:tcW w:w="2524" w:type="dxa"/>
            <w:vMerge w:val="restart"/>
          </w:tcPr>
          <w:p w14:paraId="2BEF888E"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İdarenin/birimin /alt birimin faaliyetlerini etkili, ekonomik ve verimli bir biçimde gerçekleştirememesine neden olacak riskler bu kategoridedir.</w:t>
            </w:r>
          </w:p>
        </w:tc>
        <w:tc>
          <w:tcPr>
            <w:tcW w:w="2347" w:type="dxa"/>
            <w:vMerge w:val="restart"/>
          </w:tcPr>
          <w:p w14:paraId="1F56757F"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İdare/birim/alt birim için önemli maddi kayba neden olabilecek risklerdir. Kamu kaynaklarının, idare tarafından kabul edilebilir düzeyin üzerinde etkili, ekonomik ve verimli kullanılmaması yüksek riskli kabul edilmelidir.</w:t>
            </w:r>
          </w:p>
        </w:tc>
        <w:tc>
          <w:tcPr>
            <w:tcW w:w="2360" w:type="dxa"/>
            <w:vMerge w:val="restart"/>
          </w:tcPr>
          <w:p w14:paraId="52E64EAB"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Bilerek veya bilmeyerek mevzuatla uyumun sağlanamaması durumunda idare/birim/alt birim üzerinde büyük yükümlülüklerin oluşabileceği durumlardaki risklerdir.</w:t>
            </w:r>
          </w:p>
        </w:tc>
      </w:tr>
      <w:tr w:rsidR="003D08A1" w14:paraId="16D3EA32" w14:textId="77777777" w:rsidTr="003D08A1">
        <w:trPr>
          <w:gridAfter w:val="1"/>
          <w:wAfter w:w="17" w:type="dxa"/>
          <w:trHeight w:val="1017"/>
        </w:trPr>
        <w:tc>
          <w:tcPr>
            <w:tcW w:w="620" w:type="dxa"/>
          </w:tcPr>
          <w:p w14:paraId="01C6BCCC"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9</w:t>
            </w:r>
          </w:p>
        </w:tc>
        <w:tc>
          <w:tcPr>
            <w:tcW w:w="1562" w:type="dxa"/>
            <w:vMerge/>
            <w:shd w:val="clear" w:color="auto" w:fill="FF0000"/>
          </w:tcPr>
          <w:p w14:paraId="40459389" w14:textId="77777777" w:rsidR="003D08A1" w:rsidRDefault="003D08A1" w:rsidP="00EE0436"/>
        </w:tc>
        <w:tc>
          <w:tcPr>
            <w:tcW w:w="2351" w:type="dxa"/>
            <w:vMerge/>
          </w:tcPr>
          <w:p w14:paraId="4839B5CE" w14:textId="77777777" w:rsidR="003D08A1" w:rsidRPr="00B0130A" w:rsidRDefault="003D08A1" w:rsidP="00EE0436">
            <w:pPr>
              <w:rPr>
                <w:rFonts w:ascii="Times New Roman" w:hAnsi="Times New Roman" w:cs="Times New Roman"/>
                <w:sz w:val="24"/>
                <w:szCs w:val="24"/>
              </w:rPr>
            </w:pPr>
          </w:p>
        </w:tc>
        <w:tc>
          <w:tcPr>
            <w:tcW w:w="2351" w:type="dxa"/>
            <w:vMerge/>
          </w:tcPr>
          <w:p w14:paraId="690071CE" w14:textId="77777777" w:rsidR="003D08A1" w:rsidRPr="00B0130A" w:rsidRDefault="003D08A1" w:rsidP="00EE0436">
            <w:pPr>
              <w:rPr>
                <w:rFonts w:ascii="Times New Roman" w:hAnsi="Times New Roman" w:cs="Times New Roman"/>
                <w:sz w:val="24"/>
                <w:szCs w:val="24"/>
              </w:rPr>
            </w:pPr>
          </w:p>
        </w:tc>
        <w:tc>
          <w:tcPr>
            <w:tcW w:w="2524" w:type="dxa"/>
            <w:vMerge/>
          </w:tcPr>
          <w:p w14:paraId="511AE119" w14:textId="77777777" w:rsidR="003D08A1" w:rsidRPr="00B0130A" w:rsidRDefault="003D08A1" w:rsidP="00EE0436">
            <w:pPr>
              <w:rPr>
                <w:rFonts w:ascii="Times New Roman" w:hAnsi="Times New Roman" w:cs="Times New Roman"/>
                <w:sz w:val="24"/>
                <w:szCs w:val="24"/>
              </w:rPr>
            </w:pPr>
          </w:p>
        </w:tc>
        <w:tc>
          <w:tcPr>
            <w:tcW w:w="2347" w:type="dxa"/>
            <w:vMerge/>
          </w:tcPr>
          <w:p w14:paraId="0F3A6031" w14:textId="77777777" w:rsidR="003D08A1" w:rsidRPr="00B0130A" w:rsidRDefault="003D08A1" w:rsidP="00EE0436">
            <w:pPr>
              <w:rPr>
                <w:rFonts w:ascii="Times New Roman" w:hAnsi="Times New Roman" w:cs="Times New Roman"/>
                <w:sz w:val="24"/>
                <w:szCs w:val="24"/>
              </w:rPr>
            </w:pPr>
          </w:p>
        </w:tc>
        <w:tc>
          <w:tcPr>
            <w:tcW w:w="2360" w:type="dxa"/>
            <w:vMerge/>
          </w:tcPr>
          <w:p w14:paraId="4D88DEB0" w14:textId="77777777" w:rsidR="003D08A1" w:rsidRPr="00B0130A" w:rsidRDefault="003D08A1" w:rsidP="00EE0436">
            <w:pPr>
              <w:rPr>
                <w:rFonts w:ascii="Times New Roman" w:hAnsi="Times New Roman" w:cs="Times New Roman"/>
                <w:sz w:val="24"/>
                <w:szCs w:val="24"/>
              </w:rPr>
            </w:pPr>
          </w:p>
        </w:tc>
      </w:tr>
      <w:tr w:rsidR="003D08A1" w14:paraId="2DBA2E7A" w14:textId="77777777" w:rsidTr="003D08A1">
        <w:trPr>
          <w:gridAfter w:val="1"/>
          <w:wAfter w:w="17" w:type="dxa"/>
          <w:trHeight w:val="1290"/>
        </w:trPr>
        <w:tc>
          <w:tcPr>
            <w:tcW w:w="620" w:type="dxa"/>
          </w:tcPr>
          <w:p w14:paraId="5ACC34FD"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8</w:t>
            </w:r>
          </w:p>
        </w:tc>
        <w:tc>
          <w:tcPr>
            <w:tcW w:w="1562" w:type="dxa"/>
            <w:vMerge/>
            <w:shd w:val="clear" w:color="auto" w:fill="FF0000"/>
          </w:tcPr>
          <w:p w14:paraId="6719A9EC" w14:textId="77777777" w:rsidR="003D08A1" w:rsidRDefault="003D08A1" w:rsidP="00EE0436"/>
        </w:tc>
        <w:tc>
          <w:tcPr>
            <w:tcW w:w="2351" w:type="dxa"/>
            <w:vMerge/>
          </w:tcPr>
          <w:p w14:paraId="5E989EAB" w14:textId="77777777" w:rsidR="003D08A1" w:rsidRPr="00B0130A" w:rsidRDefault="003D08A1" w:rsidP="00EE0436">
            <w:pPr>
              <w:rPr>
                <w:rFonts w:ascii="Times New Roman" w:hAnsi="Times New Roman" w:cs="Times New Roman"/>
                <w:sz w:val="24"/>
                <w:szCs w:val="24"/>
              </w:rPr>
            </w:pPr>
          </w:p>
        </w:tc>
        <w:tc>
          <w:tcPr>
            <w:tcW w:w="2351" w:type="dxa"/>
            <w:vMerge/>
          </w:tcPr>
          <w:p w14:paraId="200C0175" w14:textId="77777777" w:rsidR="003D08A1" w:rsidRPr="00B0130A" w:rsidRDefault="003D08A1" w:rsidP="00EE0436">
            <w:pPr>
              <w:rPr>
                <w:rFonts w:ascii="Times New Roman" w:hAnsi="Times New Roman" w:cs="Times New Roman"/>
                <w:sz w:val="24"/>
                <w:szCs w:val="24"/>
              </w:rPr>
            </w:pPr>
          </w:p>
        </w:tc>
        <w:tc>
          <w:tcPr>
            <w:tcW w:w="2524" w:type="dxa"/>
            <w:vMerge/>
          </w:tcPr>
          <w:p w14:paraId="07A0983C" w14:textId="77777777" w:rsidR="003D08A1" w:rsidRPr="00B0130A" w:rsidRDefault="003D08A1" w:rsidP="00EE0436">
            <w:pPr>
              <w:rPr>
                <w:rFonts w:ascii="Times New Roman" w:hAnsi="Times New Roman" w:cs="Times New Roman"/>
                <w:sz w:val="24"/>
                <w:szCs w:val="24"/>
              </w:rPr>
            </w:pPr>
          </w:p>
        </w:tc>
        <w:tc>
          <w:tcPr>
            <w:tcW w:w="2347" w:type="dxa"/>
            <w:vMerge/>
          </w:tcPr>
          <w:p w14:paraId="36FCE826" w14:textId="77777777" w:rsidR="003D08A1" w:rsidRPr="00B0130A" w:rsidRDefault="003D08A1" w:rsidP="00EE0436">
            <w:pPr>
              <w:rPr>
                <w:rFonts w:ascii="Times New Roman" w:hAnsi="Times New Roman" w:cs="Times New Roman"/>
                <w:sz w:val="24"/>
                <w:szCs w:val="24"/>
              </w:rPr>
            </w:pPr>
          </w:p>
        </w:tc>
        <w:tc>
          <w:tcPr>
            <w:tcW w:w="2360" w:type="dxa"/>
            <w:vMerge/>
          </w:tcPr>
          <w:p w14:paraId="1F62D60B" w14:textId="77777777" w:rsidR="003D08A1" w:rsidRPr="00B0130A" w:rsidRDefault="003D08A1" w:rsidP="00EE0436">
            <w:pPr>
              <w:rPr>
                <w:rFonts w:ascii="Times New Roman" w:hAnsi="Times New Roman" w:cs="Times New Roman"/>
                <w:sz w:val="24"/>
                <w:szCs w:val="24"/>
              </w:rPr>
            </w:pPr>
          </w:p>
        </w:tc>
      </w:tr>
      <w:tr w:rsidR="003D08A1" w14:paraId="3B5A3375" w14:textId="77777777" w:rsidTr="003D08A1">
        <w:trPr>
          <w:gridAfter w:val="1"/>
          <w:wAfter w:w="17" w:type="dxa"/>
          <w:trHeight w:val="286"/>
        </w:trPr>
        <w:tc>
          <w:tcPr>
            <w:tcW w:w="620" w:type="dxa"/>
          </w:tcPr>
          <w:p w14:paraId="5A95C6ED"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7</w:t>
            </w:r>
          </w:p>
        </w:tc>
        <w:tc>
          <w:tcPr>
            <w:tcW w:w="1562" w:type="dxa"/>
            <w:vMerge/>
            <w:shd w:val="clear" w:color="auto" w:fill="FF0000"/>
          </w:tcPr>
          <w:p w14:paraId="3EFD4C50" w14:textId="77777777" w:rsidR="003D08A1" w:rsidRDefault="003D08A1" w:rsidP="00EE0436"/>
        </w:tc>
        <w:tc>
          <w:tcPr>
            <w:tcW w:w="2351" w:type="dxa"/>
            <w:vMerge/>
          </w:tcPr>
          <w:p w14:paraId="16656737" w14:textId="77777777" w:rsidR="003D08A1" w:rsidRPr="00B0130A" w:rsidRDefault="003D08A1" w:rsidP="00EE0436">
            <w:pPr>
              <w:rPr>
                <w:rFonts w:ascii="Times New Roman" w:hAnsi="Times New Roman" w:cs="Times New Roman"/>
                <w:sz w:val="24"/>
                <w:szCs w:val="24"/>
              </w:rPr>
            </w:pPr>
          </w:p>
        </w:tc>
        <w:tc>
          <w:tcPr>
            <w:tcW w:w="2351" w:type="dxa"/>
            <w:vMerge/>
          </w:tcPr>
          <w:p w14:paraId="4B356DC4" w14:textId="77777777" w:rsidR="003D08A1" w:rsidRPr="00B0130A" w:rsidRDefault="003D08A1" w:rsidP="00EE0436">
            <w:pPr>
              <w:rPr>
                <w:rFonts w:ascii="Times New Roman" w:hAnsi="Times New Roman" w:cs="Times New Roman"/>
                <w:sz w:val="24"/>
                <w:szCs w:val="24"/>
              </w:rPr>
            </w:pPr>
          </w:p>
        </w:tc>
        <w:tc>
          <w:tcPr>
            <w:tcW w:w="2524" w:type="dxa"/>
            <w:vMerge/>
          </w:tcPr>
          <w:p w14:paraId="5BC0C84D" w14:textId="77777777" w:rsidR="003D08A1" w:rsidRPr="00B0130A" w:rsidRDefault="003D08A1" w:rsidP="00EE0436">
            <w:pPr>
              <w:rPr>
                <w:rFonts w:ascii="Times New Roman" w:hAnsi="Times New Roman" w:cs="Times New Roman"/>
                <w:sz w:val="24"/>
                <w:szCs w:val="24"/>
              </w:rPr>
            </w:pPr>
          </w:p>
        </w:tc>
        <w:tc>
          <w:tcPr>
            <w:tcW w:w="2347" w:type="dxa"/>
            <w:vMerge/>
          </w:tcPr>
          <w:p w14:paraId="0DD1127C" w14:textId="77777777" w:rsidR="003D08A1" w:rsidRPr="00B0130A" w:rsidRDefault="003D08A1" w:rsidP="00EE0436">
            <w:pPr>
              <w:rPr>
                <w:rFonts w:ascii="Times New Roman" w:hAnsi="Times New Roman" w:cs="Times New Roman"/>
                <w:sz w:val="24"/>
                <w:szCs w:val="24"/>
              </w:rPr>
            </w:pPr>
          </w:p>
        </w:tc>
        <w:tc>
          <w:tcPr>
            <w:tcW w:w="2360" w:type="dxa"/>
            <w:vMerge/>
          </w:tcPr>
          <w:p w14:paraId="28BED0BA" w14:textId="77777777" w:rsidR="003D08A1" w:rsidRPr="00B0130A" w:rsidRDefault="003D08A1" w:rsidP="00EE0436">
            <w:pPr>
              <w:rPr>
                <w:rFonts w:ascii="Times New Roman" w:hAnsi="Times New Roman" w:cs="Times New Roman"/>
                <w:sz w:val="24"/>
                <w:szCs w:val="24"/>
              </w:rPr>
            </w:pPr>
          </w:p>
        </w:tc>
      </w:tr>
      <w:tr w:rsidR="003D08A1" w14:paraId="7B418E82" w14:textId="77777777" w:rsidTr="003D08A1">
        <w:trPr>
          <w:gridAfter w:val="1"/>
          <w:wAfter w:w="17" w:type="dxa"/>
          <w:trHeight w:val="704"/>
        </w:trPr>
        <w:tc>
          <w:tcPr>
            <w:tcW w:w="620" w:type="dxa"/>
          </w:tcPr>
          <w:p w14:paraId="0E74D8B6"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6</w:t>
            </w:r>
          </w:p>
        </w:tc>
        <w:tc>
          <w:tcPr>
            <w:tcW w:w="1562" w:type="dxa"/>
            <w:vMerge w:val="restart"/>
            <w:shd w:val="clear" w:color="auto" w:fill="FFFF00"/>
          </w:tcPr>
          <w:p w14:paraId="33AA835A" w14:textId="77777777" w:rsidR="003D08A1" w:rsidRDefault="003D08A1" w:rsidP="00EE0436">
            <w:pPr>
              <w:jc w:val="center"/>
            </w:pPr>
          </w:p>
          <w:p w14:paraId="2F7DE73E" w14:textId="77777777" w:rsidR="003D08A1" w:rsidRDefault="003D08A1" w:rsidP="00EE0436">
            <w:pPr>
              <w:jc w:val="center"/>
              <w:rPr>
                <w:rFonts w:ascii="Times New Roman" w:hAnsi="Times New Roman" w:cs="Times New Roman"/>
                <w:sz w:val="24"/>
                <w:szCs w:val="24"/>
              </w:rPr>
            </w:pPr>
          </w:p>
          <w:p w14:paraId="0C1CFD4F" w14:textId="77777777" w:rsidR="003D08A1" w:rsidRDefault="003D08A1" w:rsidP="00EE0436">
            <w:pPr>
              <w:jc w:val="center"/>
              <w:rPr>
                <w:rFonts w:ascii="Times New Roman" w:hAnsi="Times New Roman" w:cs="Times New Roman"/>
                <w:sz w:val="24"/>
                <w:szCs w:val="24"/>
              </w:rPr>
            </w:pPr>
          </w:p>
          <w:p w14:paraId="4F2E73A0" w14:textId="77777777" w:rsidR="003D08A1" w:rsidRDefault="003D08A1" w:rsidP="00EE0436">
            <w:pPr>
              <w:jc w:val="center"/>
              <w:rPr>
                <w:rFonts w:ascii="Times New Roman" w:hAnsi="Times New Roman" w:cs="Times New Roman"/>
                <w:sz w:val="24"/>
                <w:szCs w:val="24"/>
              </w:rPr>
            </w:pPr>
          </w:p>
          <w:p w14:paraId="4416963E" w14:textId="77777777" w:rsidR="003D08A1" w:rsidRDefault="003D08A1" w:rsidP="00EE0436">
            <w:pPr>
              <w:jc w:val="center"/>
              <w:rPr>
                <w:rFonts w:ascii="Times New Roman" w:hAnsi="Times New Roman" w:cs="Times New Roman"/>
                <w:sz w:val="24"/>
                <w:szCs w:val="24"/>
              </w:rPr>
            </w:pPr>
          </w:p>
          <w:p w14:paraId="318EAF8D"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Orta</w:t>
            </w:r>
          </w:p>
        </w:tc>
        <w:tc>
          <w:tcPr>
            <w:tcW w:w="2351" w:type="dxa"/>
            <w:vMerge w:val="restart"/>
          </w:tcPr>
          <w:p w14:paraId="49F184B2"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 xml:space="preserve">…yıl/ay/gün içerisinde gerçekleşme olasılığı olan risklerdir. Bunlar genellikle idarenin/birimin/alt birimin daha önce de karşılaştığı veya </w:t>
            </w:r>
            <w:r w:rsidRPr="00B0130A">
              <w:rPr>
                <w:rFonts w:ascii="Times New Roman" w:hAnsi="Times New Roman" w:cs="Times New Roman"/>
                <w:sz w:val="24"/>
                <w:szCs w:val="24"/>
              </w:rPr>
              <w:lastRenderedPageBreak/>
              <w:t>genel olarak idarelerde karşılaşılmış olan risklerdir.</w:t>
            </w:r>
          </w:p>
        </w:tc>
        <w:tc>
          <w:tcPr>
            <w:tcW w:w="2351" w:type="dxa"/>
            <w:vMerge w:val="restart"/>
          </w:tcPr>
          <w:p w14:paraId="517C7DA6"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lastRenderedPageBreak/>
              <w:t xml:space="preserve">Stratejik hedeflere ulaşmada belirli düzeyde etkisi olabilecek risklerdir. Bu puan aralığında yer almakla birlikte stratejik hedefleri etkileyebilecek kilit </w:t>
            </w:r>
            <w:r w:rsidRPr="00B0130A">
              <w:rPr>
                <w:rFonts w:ascii="Times New Roman" w:hAnsi="Times New Roman" w:cs="Times New Roman"/>
                <w:sz w:val="24"/>
                <w:szCs w:val="24"/>
              </w:rPr>
              <w:lastRenderedPageBreak/>
              <w:t>risklerin kriterlerinin belirlenmesi gerekmektedir.</w:t>
            </w:r>
          </w:p>
        </w:tc>
        <w:tc>
          <w:tcPr>
            <w:tcW w:w="2524" w:type="dxa"/>
            <w:vMerge w:val="restart"/>
          </w:tcPr>
          <w:p w14:paraId="2FED331B"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lastRenderedPageBreak/>
              <w:t xml:space="preserve">İdarenin/birimin /alt birimin sunması gereken hizmeti etkili, ekonomik ve verimli bir biçimde gerçekleştirmesi üzerinde belirli </w:t>
            </w:r>
            <w:r w:rsidRPr="00B0130A">
              <w:rPr>
                <w:rFonts w:ascii="Times New Roman" w:hAnsi="Times New Roman" w:cs="Times New Roman"/>
                <w:sz w:val="24"/>
                <w:szCs w:val="24"/>
              </w:rPr>
              <w:lastRenderedPageBreak/>
              <w:t>düzeyde etkisi olabilecek risklerdir</w:t>
            </w:r>
          </w:p>
        </w:tc>
        <w:tc>
          <w:tcPr>
            <w:tcW w:w="2347" w:type="dxa"/>
            <w:vMerge w:val="restart"/>
          </w:tcPr>
          <w:p w14:paraId="39CE5891"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lastRenderedPageBreak/>
              <w:t xml:space="preserve">İdare/birim/alt birim için belirli bir düzeyde maddi kayba neden olabilecek risklerdir. İdare tarafından kabul edilebilir düzeyde etkili, ekonomik ve </w:t>
            </w:r>
            <w:r w:rsidRPr="00B0130A">
              <w:rPr>
                <w:rFonts w:ascii="Times New Roman" w:hAnsi="Times New Roman" w:cs="Times New Roman"/>
                <w:sz w:val="24"/>
                <w:szCs w:val="24"/>
              </w:rPr>
              <w:lastRenderedPageBreak/>
              <w:t>verimli kullanılmaması orta riskli kabul edilmelidir.</w:t>
            </w:r>
          </w:p>
        </w:tc>
        <w:tc>
          <w:tcPr>
            <w:tcW w:w="2360" w:type="dxa"/>
            <w:vMerge w:val="restart"/>
          </w:tcPr>
          <w:p w14:paraId="3C2890A3"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lastRenderedPageBreak/>
              <w:t xml:space="preserve">Bilerek veya bilmeyerek mevzuatla uyumun sağlanamaması durumunda idare/birim/alt birim üzerinde belirli düzeyde </w:t>
            </w:r>
            <w:r w:rsidRPr="00B0130A">
              <w:rPr>
                <w:rFonts w:ascii="Times New Roman" w:hAnsi="Times New Roman" w:cs="Times New Roman"/>
                <w:sz w:val="24"/>
                <w:szCs w:val="24"/>
              </w:rPr>
              <w:lastRenderedPageBreak/>
              <w:t>yükümlülüklerin oluşabileceği risklerdir.</w:t>
            </w:r>
          </w:p>
        </w:tc>
      </w:tr>
      <w:tr w:rsidR="003D08A1" w14:paraId="263E3F47" w14:textId="77777777" w:rsidTr="003D08A1">
        <w:trPr>
          <w:gridAfter w:val="1"/>
          <w:wAfter w:w="17" w:type="dxa"/>
          <w:trHeight w:val="821"/>
        </w:trPr>
        <w:tc>
          <w:tcPr>
            <w:tcW w:w="620" w:type="dxa"/>
          </w:tcPr>
          <w:p w14:paraId="1D051481"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5</w:t>
            </w:r>
          </w:p>
        </w:tc>
        <w:tc>
          <w:tcPr>
            <w:tcW w:w="1562" w:type="dxa"/>
            <w:vMerge/>
            <w:shd w:val="clear" w:color="auto" w:fill="FFFF00"/>
          </w:tcPr>
          <w:p w14:paraId="66F05554" w14:textId="77777777" w:rsidR="003D08A1" w:rsidRDefault="003D08A1" w:rsidP="00EE0436"/>
        </w:tc>
        <w:tc>
          <w:tcPr>
            <w:tcW w:w="2351" w:type="dxa"/>
            <w:vMerge/>
          </w:tcPr>
          <w:p w14:paraId="2D0667C2" w14:textId="77777777" w:rsidR="003D08A1" w:rsidRPr="00B0130A" w:rsidRDefault="003D08A1" w:rsidP="00EE0436">
            <w:pPr>
              <w:rPr>
                <w:rFonts w:ascii="Times New Roman" w:hAnsi="Times New Roman" w:cs="Times New Roman"/>
                <w:sz w:val="24"/>
                <w:szCs w:val="24"/>
              </w:rPr>
            </w:pPr>
          </w:p>
        </w:tc>
        <w:tc>
          <w:tcPr>
            <w:tcW w:w="2351" w:type="dxa"/>
            <w:vMerge/>
          </w:tcPr>
          <w:p w14:paraId="69C75B0F" w14:textId="77777777" w:rsidR="003D08A1" w:rsidRPr="00B0130A" w:rsidRDefault="003D08A1" w:rsidP="00EE0436">
            <w:pPr>
              <w:rPr>
                <w:rFonts w:ascii="Times New Roman" w:hAnsi="Times New Roman" w:cs="Times New Roman"/>
                <w:sz w:val="24"/>
                <w:szCs w:val="24"/>
              </w:rPr>
            </w:pPr>
          </w:p>
        </w:tc>
        <w:tc>
          <w:tcPr>
            <w:tcW w:w="2524" w:type="dxa"/>
            <w:vMerge/>
          </w:tcPr>
          <w:p w14:paraId="1FFD49A2" w14:textId="77777777" w:rsidR="003D08A1" w:rsidRPr="00B0130A" w:rsidRDefault="003D08A1" w:rsidP="00EE0436">
            <w:pPr>
              <w:rPr>
                <w:rFonts w:ascii="Times New Roman" w:hAnsi="Times New Roman" w:cs="Times New Roman"/>
                <w:sz w:val="24"/>
                <w:szCs w:val="24"/>
              </w:rPr>
            </w:pPr>
          </w:p>
        </w:tc>
        <w:tc>
          <w:tcPr>
            <w:tcW w:w="2347" w:type="dxa"/>
            <w:vMerge/>
          </w:tcPr>
          <w:p w14:paraId="52FE9701" w14:textId="77777777" w:rsidR="003D08A1" w:rsidRPr="00B0130A" w:rsidRDefault="003D08A1" w:rsidP="00EE0436">
            <w:pPr>
              <w:rPr>
                <w:rFonts w:ascii="Times New Roman" w:hAnsi="Times New Roman" w:cs="Times New Roman"/>
                <w:sz w:val="24"/>
                <w:szCs w:val="24"/>
              </w:rPr>
            </w:pPr>
          </w:p>
        </w:tc>
        <w:tc>
          <w:tcPr>
            <w:tcW w:w="2360" w:type="dxa"/>
            <w:vMerge/>
          </w:tcPr>
          <w:p w14:paraId="0BF3E253" w14:textId="77777777" w:rsidR="003D08A1" w:rsidRPr="00B0130A" w:rsidRDefault="003D08A1" w:rsidP="00EE0436">
            <w:pPr>
              <w:rPr>
                <w:rFonts w:ascii="Times New Roman" w:hAnsi="Times New Roman" w:cs="Times New Roman"/>
                <w:sz w:val="24"/>
                <w:szCs w:val="24"/>
              </w:rPr>
            </w:pPr>
          </w:p>
        </w:tc>
      </w:tr>
      <w:tr w:rsidR="003D08A1" w14:paraId="0326FE1B" w14:textId="77777777" w:rsidTr="003D08A1">
        <w:trPr>
          <w:gridAfter w:val="1"/>
          <w:wAfter w:w="17" w:type="dxa"/>
          <w:trHeight w:val="286"/>
        </w:trPr>
        <w:tc>
          <w:tcPr>
            <w:tcW w:w="620" w:type="dxa"/>
          </w:tcPr>
          <w:p w14:paraId="3D0E5851"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4</w:t>
            </w:r>
          </w:p>
        </w:tc>
        <w:tc>
          <w:tcPr>
            <w:tcW w:w="1562" w:type="dxa"/>
            <w:vMerge/>
            <w:shd w:val="clear" w:color="auto" w:fill="FFFF00"/>
          </w:tcPr>
          <w:p w14:paraId="6A5EE6E0" w14:textId="77777777" w:rsidR="003D08A1" w:rsidRDefault="003D08A1" w:rsidP="00EE0436"/>
        </w:tc>
        <w:tc>
          <w:tcPr>
            <w:tcW w:w="2351" w:type="dxa"/>
            <w:vMerge/>
          </w:tcPr>
          <w:p w14:paraId="55CC1C34" w14:textId="77777777" w:rsidR="003D08A1" w:rsidRPr="00B0130A" w:rsidRDefault="003D08A1" w:rsidP="00EE0436">
            <w:pPr>
              <w:rPr>
                <w:rFonts w:ascii="Times New Roman" w:hAnsi="Times New Roman" w:cs="Times New Roman"/>
                <w:sz w:val="24"/>
                <w:szCs w:val="24"/>
              </w:rPr>
            </w:pPr>
          </w:p>
        </w:tc>
        <w:tc>
          <w:tcPr>
            <w:tcW w:w="2351" w:type="dxa"/>
            <w:vMerge/>
          </w:tcPr>
          <w:p w14:paraId="1262E843" w14:textId="77777777" w:rsidR="003D08A1" w:rsidRPr="00B0130A" w:rsidRDefault="003D08A1" w:rsidP="00EE0436">
            <w:pPr>
              <w:rPr>
                <w:rFonts w:ascii="Times New Roman" w:hAnsi="Times New Roman" w:cs="Times New Roman"/>
                <w:sz w:val="24"/>
                <w:szCs w:val="24"/>
              </w:rPr>
            </w:pPr>
          </w:p>
        </w:tc>
        <w:tc>
          <w:tcPr>
            <w:tcW w:w="2524" w:type="dxa"/>
            <w:vMerge/>
          </w:tcPr>
          <w:p w14:paraId="7774FEFE" w14:textId="77777777" w:rsidR="003D08A1" w:rsidRPr="00B0130A" w:rsidRDefault="003D08A1" w:rsidP="00EE0436">
            <w:pPr>
              <w:rPr>
                <w:rFonts w:ascii="Times New Roman" w:hAnsi="Times New Roman" w:cs="Times New Roman"/>
                <w:sz w:val="24"/>
                <w:szCs w:val="24"/>
              </w:rPr>
            </w:pPr>
          </w:p>
        </w:tc>
        <w:tc>
          <w:tcPr>
            <w:tcW w:w="2347" w:type="dxa"/>
            <w:vMerge/>
          </w:tcPr>
          <w:p w14:paraId="5E67605D" w14:textId="77777777" w:rsidR="003D08A1" w:rsidRPr="00B0130A" w:rsidRDefault="003D08A1" w:rsidP="00EE0436">
            <w:pPr>
              <w:rPr>
                <w:rFonts w:ascii="Times New Roman" w:hAnsi="Times New Roman" w:cs="Times New Roman"/>
                <w:sz w:val="24"/>
                <w:szCs w:val="24"/>
              </w:rPr>
            </w:pPr>
          </w:p>
        </w:tc>
        <w:tc>
          <w:tcPr>
            <w:tcW w:w="2360" w:type="dxa"/>
            <w:vMerge/>
          </w:tcPr>
          <w:p w14:paraId="3EE8C6FF" w14:textId="77777777" w:rsidR="003D08A1" w:rsidRPr="00B0130A" w:rsidRDefault="003D08A1" w:rsidP="00EE0436">
            <w:pPr>
              <w:rPr>
                <w:rFonts w:ascii="Times New Roman" w:hAnsi="Times New Roman" w:cs="Times New Roman"/>
                <w:sz w:val="24"/>
                <w:szCs w:val="24"/>
              </w:rPr>
            </w:pPr>
          </w:p>
        </w:tc>
      </w:tr>
      <w:tr w:rsidR="003D08A1" w14:paraId="52BA4D37" w14:textId="77777777" w:rsidTr="003D08A1">
        <w:trPr>
          <w:gridAfter w:val="1"/>
          <w:wAfter w:w="17" w:type="dxa"/>
          <w:trHeight w:val="1433"/>
        </w:trPr>
        <w:tc>
          <w:tcPr>
            <w:tcW w:w="620" w:type="dxa"/>
          </w:tcPr>
          <w:p w14:paraId="09EF00A4"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3</w:t>
            </w:r>
          </w:p>
        </w:tc>
        <w:tc>
          <w:tcPr>
            <w:tcW w:w="1562" w:type="dxa"/>
            <w:vMerge w:val="restart"/>
            <w:shd w:val="clear" w:color="auto" w:fill="00B050"/>
          </w:tcPr>
          <w:p w14:paraId="30F85B37" w14:textId="77777777" w:rsidR="003D08A1" w:rsidRDefault="003D08A1" w:rsidP="00EE0436">
            <w:pPr>
              <w:jc w:val="center"/>
              <w:rPr>
                <w:rFonts w:ascii="Times New Roman" w:hAnsi="Times New Roman" w:cs="Times New Roman"/>
                <w:sz w:val="24"/>
                <w:szCs w:val="24"/>
              </w:rPr>
            </w:pPr>
          </w:p>
          <w:p w14:paraId="42D009F6" w14:textId="77777777" w:rsidR="003D08A1" w:rsidRDefault="003D08A1" w:rsidP="00EE0436">
            <w:pPr>
              <w:jc w:val="center"/>
              <w:rPr>
                <w:rFonts w:ascii="Times New Roman" w:hAnsi="Times New Roman" w:cs="Times New Roman"/>
                <w:sz w:val="24"/>
                <w:szCs w:val="24"/>
              </w:rPr>
            </w:pPr>
          </w:p>
          <w:p w14:paraId="421B0DC7" w14:textId="77777777" w:rsidR="003D08A1" w:rsidRDefault="003D08A1" w:rsidP="00EE0436">
            <w:pPr>
              <w:jc w:val="center"/>
              <w:rPr>
                <w:rFonts w:ascii="Times New Roman" w:hAnsi="Times New Roman" w:cs="Times New Roman"/>
                <w:sz w:val="24"/>
                <w:szCs w:val="24"/>
              </w:rPr>
            </w:pPr>
          </w:p>
          <w:p w14:paraId="22EC6090" w14:textId="77777777" w:rsidR="003D08A1" w:rsidRDefault="003D08A1" w:rsidP="00EE0436">
            <w:pPr>
              <w:jc w:val="center"/>
              <w:rPr>
                <w:rFonts w:ascii="Times New Roman" w:hAnsi="Times New Roman" w:cs="Times New Roman"/>
                <w:sz w:val="24"/>
                <w:szCs w:val="24"/>
              </w:rPr>
            </w:pPr>
          </w:p>
          <w:p w14:paraId="614142E9" w14:textId="77777777" w:rsidR="003D08A1" w:rsidRDefault="003D08A1" w:rsidP="00EE0436">
            <w:pPr>
              <w:jc w:val="center"/>
              <w:rPr>
                <w:rFonts w:ascii="Times New Roman" w:hAnsi="Times New Roman" w:cs="Times New Roman"/>
                <w:sz w:val="24"/>
                <w:szCs w:val="24"/>
              </w:rPr>
            </w:pPr>
          </w:p>
          <w:p w14:paraId="1FB0D33E" w14:textId="77777777" w:rsidR="003D08A1" w:rsidRPr="009E16AF" w:rsidRDefault="003D08A1" w:rsidP="00EE0436">
            <w:pPr>
              <w:jc w:val="center"/>
              <w:rPr>
                <w:rFonts w:ascii="Times New Roman" w:hAnsi="Times New Roman" w:cs="Times New Roman"/>
                <w:sz w:val="24"/>
                <w:szCs w:val="24"/>
              </w:rPr>
            </w:pPr>
            <w:r w:rsidRPr="009E16AF">
              <w:rPr>
                <w:rFonts w:ascii="Times New Roman" w:hAnsi="Times New Roman" w:cs="Times New Roman"/>
                <w:sz w:val="24"/>
                <w:szCs w:val="24"/>
              </w:rPr>
              <w:t>Düşük</w:t>
            </w:r>
          </w:p>
        </w:tc>
        <w:tc>
          <w:tcPr>
            <w:tcW w:w="2351" w:type="dxa"/>
            <w:vMerge w:val="restart"/>
          </w:tcPr>
          <w:p w14:paraId="5DA4A8E5"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…yıl/ay/gün içerisinde gerçekleşme ihtimali düşük olan risklerdir. Bunlar genellikle idarenin/birimin/alt birimin çok ender karşılaştığı, gerçekleşme olasılığının neredeyse olmadığı risklerdir.</w:t>
            </w:r>
          </w:p>
        </w:tc>
        <w:tc>
          <w:tcPr>
            <w:tcW w:w="2351" w:type="dxa"/>
            <w:vMerge w:val="restart"/>
          </w:tcPr>
          <w:p w14:paraId="10F03BF3"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Stratejik hedeflere ulaşmada çok az etkisi olabilecek risklerdir. Etkiler genellikle küçüktür ve sınırlı bir alanı kapsar.</w:t>
            </w:r>
          </w:p>
        </w:tc>
        <w:tc>
          <w:tcPr>
            <w:tcW w:w="2524" w:type="dxa"/>
            <w:vMerge w:val="restart"/>
          </w:tcPr>
          <w:p w14:paraId="6B389C30"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İdarenin/birimin /alt birimin sunması gereken hizmeti etkili, ekonomik ve verimli bir biçimde gerçekleştirmesi üzerinde çok az etkisi olabilecek risklerdir.</w:t>
            </w:r>
          </w:p>
        </w:tc>
        <w:tc>
          <w:tcPr>
            <w:tcW w:w="2347" w:type="dxa"/>
            <w:vMerge w:val="restart"/>
          </w:tcPr>
          <w:p w14:paraId="75CCBF24"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İdare/birim/bölüm için çok az maddi kayba neden olacak riskledir. Kamu kaynaklarının idare tarafından kabul edilebilir düzeyin altında etkili, ekonomik ve verimli kullanılmaması, belirli miktarın altında harcanması düşük riskli olarak kabul edilmektedir</w:t>
            </w:r>
          </w:p>
        </w:tc>
        <w:tc>
          <w:tcPr>
            <w:tcW w:w="2360" w:type="dxa"/>
            <w:vMerge w:val="restart"/>
          </w:tcPr>
          <w:p w14:paraId="4ACDC2E3" w14:textId="77777777" w:rsidR="003D08A1" w:rsidRPr="00B0130A" w:rsidRDefault="003D08A1" w:rsidP="00EE0436">
            <w:pPr>
              <w:rPr>
                <w:rFonts w:ascii="Times New Roman" w:hAnsi="Times New Roman" w:cs="Times New Roman"/>
                <w:sz w:val="24"/>
                <w:szCs w:val="24"/>
              </w:rPr>
            </w:pPr>
            <w:r w:rsidRPr="00B0130A">
              <w:rPr>
                <w:rFonts w:ascii="Times New Roman" w:hAnsi="Times New Roman" w:cs="Times New Roman"/>
                <w:sz w:val="24"/>
                <w:szCs w:val="24"/>
              </w:rPr>
              <w:t>Bilerek veya bilmeyerek mevzuatla uyumun sağlanamaması durumunda idare/birim/alt birim üzerinde çok düşük düzeyde yükümlülüklerin ve/veya sorumlulukların oluşabileceği durumlardaki risklerdir.</w:t>
            </w:r>
          </w:p>
        </w:tc>
      </w:tr>
    </w:tbl>
    <w:p w14:paraId="40C6394C" w14:textId="77777777" w:rsidR="00863ADF" w:rsidRDefault="00863ADF"/>
    <w:sectPr w:rsidR="00863ADF" w:rsidSect="003D0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95"/>
    <w:rsid w:val="000C6964"/>
    <w:rsid w:val="003D08A1"/>
    <w:rsid w:val="00863ADF"/>
    <w:rsid w:val="00904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E1E6"/>
  <w15:chartTrackingRefBased/>
  <w15:docId w15:val="{6823BFCE-60C8-411A-8C74-819B39BE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A1"/>
  </w:style>
  <w:style w:type="paragraph" w:styleId="Balk2">
    <w:name w:val="heading 2"/>
    <w:basedOn w:val="Normal"/>
    <w:next w:val="Normal"/>
    <w:link w:val="Balk2Char"/>
    <w:uiPriority w:val="9"/>
    <w:unhideWhenUsed/>
    <w:qFormat/>
    <w:rsid w:val="003D08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08A1"/>
    <w:rPr>
      <w:rFonts w:asciiTheme="majorHAnsi" w:eastAsiaTheme="majorEastAsia" w:hAnsiTheme="majorHAnsi" w:cstheme="majorBidi"/>
      <w:color w:val="2F5496" w:themeColor="accent1" w:themeShade="BF"/>
      <w:sz w:val="26"/>
      <w:szCs w:val="26"/>
    </w:rPr>
  </w:style>
  <w:style w:type="table" w:styleId="KlavuzuTablo4-Vurgu2">
    <w:name w:val="Grid Table 4 Accent 2"/>
    <w:basedOn w:val="NormalTablo"/>
    <w:uiPriority w:val="49"/>
    <w:rsid w:val="003D08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oKlavuzu">
    <w:name w:val="Table Grid"/>
    <w:basedOn w:val="NormalTablo"/>
    <w:uiPriority w:val="39"/>
    <w:rsid w:val="003D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SARIDEMİR</dc:creator>
  <cp:keywords/>
  <dc:description/>
  <cp:lastModifiedBy>Mustafa SARIDEMİR</cp:lastModifiedBy>
  <cp:revision>2</cp:revision>
  <dcterms:created xsi:type="dcterms:W3CDTF">2023-12-25T09:54:00Z</dcterms:created>
  <dcterms:modified xsi:type="dcterms:W3CDTF">2023-12-25T09:54:00Z</dcterms:modified>
</cp:coreProperties>
</file>